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00000" w:rsidRPr="00000000" w:rsidP="00000000" w14:paraId="00000001">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0" w:name="_gjdgxs" w:colFirst="0" w:colLast="0"/>
      <w:bookmarkEnd w:id="0"/>
    </w:p>
    <w:p w:rsidR="00000000" w:rsidRPr="00000000" w:rsidP="00000000" w14:paraId="00000002">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1" w:name="_30brbpwwaqpw" w:colFirst="0" w:colLast="0"/>
      <w:bookmarkEnd w:id="1"/>
    </w:p>
    <w:p w:rsidR="00000000" w:rsidRPr="00000000" w:rsidP="00000000" w14:paraId="00000003">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2" w:name="_ikf6r9qspjxe" w:colFirst="0" w:colLast="0"/>
      <w:bookmarkEnd w:id="2"/>
    </w:p>
    <w:p w:rsidR="00000000" w:rsidRPr="00000000" w:rsidP="00000000" w14:paraId="00000004">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3" w:name="_hw4jveboi6of" w:colFirst="0" w:colLast="0"/>
      <w:bookmarkEnd w:id="3"/>
    </w:p>
    <w:p w:rsidR="00000000" w:rsidRPr="00000000" w:rsidP="00000000" w14:paraId="00000005">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4" w:name="_8or2z7qce80q" w:colFirst="0" w:colLast="0"/>
      <w:bookmarkEnd w:id="4"/>
    </w:p>
    <w:p w:rsidR="00000000" w:rsidRPr="00000000" w:rsidP="00000000" w14:paraId="00000006">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5" w:name="_4a8sx7lzkl2t" w:colFirst="0" w:colLast="0"/>
      <w:bookmarkEnd w:id="5"/>
    </w:p>
    <w:p w:rsidR="00000000" w:rsidRPr="00000000" w:rsidP="00000000" w14:paraId="00000007">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6" w:name="_b4ccdv7lhhyt" w:colFirst="0" w:colLast="0"/>
      <w:bookmarkEnd w:id="6"/>
    </w:p>
    <w:p w:rsidR="00000000" w:rsidRPr="00000000" w:rsidP="00000000" w14:paraId="00000008">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7" w:name="_n8vq6z6puy7d" w:colFirst="0" w:colLast="0"/>
      <w:bookmarkEnd w:id="7"/>
    </w:p>
    <w:p w:rsidR="00000000" w:rsidRPr="00000000" w:rsidP="00000000" w14:paraId="00000009">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8" w:name="_izjmtks7xe55" w:colFirst="0" w:colLast="0"/>
      <w:bookmarkEnd w:id="8"/>
    </w:p>
    <w:p w:rsidR="00000000" w:rsidRPr="00000000" w:rsidP="00000000" w14:paraId="0000000A">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9" w:name="_3wz1kybgw08w" w:colFirst="0" w:colLast="0"/>
      <w:bookmarkEnd w:id="9"/>
    </w:p>
    <w:p w:rsidR="00000000" w:rsidRPr="00000000" w:rsidP="00000000" w14:paraId="0000000B">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10" w:name="_gpeg5hheo64k" w:colFirst="0" w:colLast="0"/>
      <w:bookmarkEnd w:id="10"/>
    </w:p>
    <w:p w:rsidR="00000000" w:rsidRPr="00000000" w:rsidP="00000000" w14:paraId="0000000C">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11" w:name="_8gpbd2p3bue7" w:colFirst="0" w:colLast="0"/>
      <w:bookmarkEnd w:id="11"/>
    </w:p>
    <w:p w:rsidR="00000000" w:rsidRPr="00000000" w:rsidP="00000000" w14:paraId="0000000D">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12" w:name="_gkxq2a42ifqb" w:colFirst="0" w:colLast="0"/>
      <w:bookmarkEnd w:id="12"/>
      <w:r w:rsidRPr="00000000">
        <w:rPr>
          <w:rFonts w:ascii="Times New Roman" w:eastAsia="Times New Roman" w:hAnsi="Times New Roman" w:cs="Times New Roman"/>
          <w:color w:val="0E101A"/>
          <w:sz w:val="24"/>
          <w:szCs w:val="24"/>
          <w:rtl w:val="0"/>
        </w:rPr>
        <w:t>The Health Belief Model Relaying to the Japanese Culture</w:t>
      </w:r>
    </w:p>
    <w:p w:rsidR="00000000" w:rsidRPr="00000000" w:rsidP="00000000" w14:paraId="0000000E">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13" w:name="_dimrbc4vsic9" w:colFirst="0" w:colLast="0"/>
      <w:bookmarkEnd w:id="13"/>
      <w:r w:rsidRPr="00000000">
        <w:rPr>
          <w:rFonts w:ascii="Times New Roman" w:eastAsia="Times New Roman" w:hAnsi="Times New Roman" w:cs="Times New Roman"/>
          <w:color w:val="0E101A"/>
          <w:sz w:val="24"/>
          <w:szCs w:val="24"/>
          <w:rtl w:val="0"/>
        </w:rPr>
        <w:t>Name</w:t>
      </w:r>
    </w:p>
    <w:p w:rsidR="00000000" w:rsidRPr="00000000" w:rsidP="00000000" w14:paraId="0000000F">
      <w:pPr>
        <w:keepNext w:val="0"/>
        <w:keepLines w:val="0"/>
        <w:widowControl/>
        <w:pBdr>
          <w:top w:val="nil"/>
          <w:left w:val="nil"/>
          <w:bottom w:val="nil"/>
          <w:right w:val="nil"/>
          <w:between w:val="nil"/>
        </w:pBdr>
        <w:shd w:val="clear" w:color="auto" w:fill="auto"/>
        <w:spacing w:before="0" w:after="0" w:line="480" w:lineRule="auto"/>
        <w:ind w:left="0" w:right="0" w:firstLine="0"/>
        <w:jc w:val="center"/>
        <w:rPr>
          <w:rFonts w:ascii="Times New Roman" w:eastAsia="Times New Roman" w:hAnsi="Times New Roman" w:cs="Times New Roman"/>
          <w:color w:val="0E101A"/>
          <w:sz w:val="24"/>
          <w:szCs w:val="24"/>
        </w:rPr>
      </w:pPr>
      <w:bookmarkStart w:id="14" w:name="_ix9g63ac9eey" w:colFirst="0" w:colLast="0"/>
      <w:bookmarkEnd w:id="14"/>
      <w:r w:rsidRPr="00000000">
        <w:rPr>
          <w:rFonts w:ascii="Times New Roman" w:eastAsia="Times New Roman" w:hAnsi="Times New Roman" w:cs="Times New Roman"/>
          <w:color w:val="0E101A"/>
          <w:sz w:val="24"/>
          <w:szCs w:val="24"/>
          <w:rtl w:val="0"/>
        </w:rPr>
        <w:t>Institution</w:t>
      </w:r>
    </w:p>
    <w:p w:rsidR="00000000" w:rsidRPr="00000000" w:rsidP="00000000" w14:paraId="00000010">
      <w:pPr>
        <w:keepNext w:val="0"/>
        <w:keepLines w:val="0"/>
        <w:widowControl/>
        <w:pBdr>
          <w:top w:val="nil"/>
          <w:left w:val="nil"/>
          <w:bottom w:val="nil"/>
          <w:right w:val="nil"/>
          <w:between w:val="nil"/>
        </w:pBdr>
        <w:shd w:val="clear" w:color="auto" w:fill="auto"/>
        <w:spacing w:before="0" w:after="0" w:line="240" w:lineRule="auto"/>
        <w:ind w:left="0" w:right="0" w:firstLine="0"/>
        <w:jc w:val="center"/>
        <w:rPr>
          <w:rFonts w:ascii="Times New Roman" w:eastAsia="Times New Roman" w:hAnsi="Times New Roman" w:cs="Times New Roman"/>
          <w:color w:val="0E101A"/>
          <w:sz w:val="24"/>
          <w:szCs w:val="24"/>
          <w:u w:val="single"/>
        </w:rPr>
      </w:pPr>
      <w:bookmarkStart w:id="15" w:name="_z7g4tmpbqljb" w:colFirst="0" w:colLast="0"/>
      <w:bookmarkEnd w:id="15"/>
      <w:r w:rsidRPr="00000000">
        <w:br w:type="page"/>
      </w:r>
    </w:p>
    <w:p w:rsidR="00000000" w:rsidRPr="00000000" w:rsidP="00000000" w14:paraId="00000011">
      <w:pPr>
        <w:spacing w:after="0" w:line="480" w:lineRule="auto"/>
        <w:jc w:val="center"/>
        <w:rPr>
          <w:rFonts w:ascii="Times New Roman" w:eastAsia="Times New Roman" w:hAnsi="Times New Roman" w:cs="Times New Roman"/>
          <w:color w:val="0E101A"/>
          <w:sz w:val="24"/>
          <w:szCs w:val="24"/>
        </w:rPr>
      </w:pPr>
      <w:r w:rsidRPr="00000000">
        <w:rPr>
          <w:rFonts w:ascii="Times New Roman" w:eastAsia="Times New Roman" w:hAnsi="Times New Roman" w:cs="Times New Roman"/>
          <w:color w:val="0E101A"/>
          <w:sz w:val="24"/>
          <w:szCs w:val="24"/>
          <w:rtl w:val="0"/>
        </w:rPr>
        <w:t>The Health Belief Model Relaying to the Japanese Culture</w:t>
      </w:r>
    </w:p>
    <w:p w:rsidR="00000000" w:rsidRPr="00000000" w:rsidP="00000000" w14:paraId="00000012">
      <w:pPr>
        <w:spacing w:after="0" w:line="480" w:lineRule="auto"/>
        <w:ind w:firstLine="720"/>
        <w:rPr>
          <w:rFonts w:ascii="Times New Roman" w:eastAsia="Times New Roman" w:hAnsi="Times New Roman" w:cs="Times New Roman"/>
          <w:i w:val="0"/>
          <w:smallCaps w:val="0"/>
          <w:strike w:val="0"/>
          <w:color w:val="0E101A"/>
          <w:sz w:val="24"/>
          <w:szCs w:val="24"/>
          <w:u w:val="none"/>
          <w:shd w:val="clear" w:color="auto" w:fill="auto"/>
          <w:vertAlign w:val="baseline"/>
        </w:rPr>
      </w:pPr>
      <w:bookmarkStart w:id="16" w:name="_8dgc3gz638rr" w:colFirst="0" w:colLast="0"/>
      <w:bookmarkEnd w:id="16"/>
      <w:r w:rsidRPr="00000000">
        <w:rPr>
          <w:rFonts w:ascii="Times New Roman" w:eastAsia="Times New Roman" w:hAnsi="Times New Roman" w:cs="Times New Roman"/>
          <w:i w:val="0"/>
          <w:smallCaps w:val="0"/>
          <w:strike w:val="0"/>
          <w:color w:val="0E101A"/>
          <w:sz w:val="24"/>
          <w:szCs w:val="24"/>
          <w:u w:val="none"/>
          <w:shd w:val="clear" w:color="auto" w:fill="auto"/>
          <w:vertAlign w:val="baseline"/>
          <w:rtl w:val="0"/>
        </w:rPr>
        <w:t>The health belief model (HBM) is a model theoretically used to promote health and prevent diseases. With such a theory, the most common challenge faced when handling this is having the power to explain this theory in different cultural contexts. Cultural beliefs mostly hinder health beliefs as many individuals in various communities are brought up with cultural beliefs, which in most communities, is taken with high regard</w:t>
      </w:r>
      <w:r w:rsidRPr="00000000">
        <w:rPr>
          <w:rFonts w:ascii="Times New Roman" w:eastAsia="Times New Roman" w:hAnsi="Times New Roman" w:cs="Times New Roman"/>
          <w:color w:val="0E101A"/>
          <w:sz w:val="24"/>
          <w:szCs w:val="24"/>
          <w:rtl w:val="0"/>
        </w:rPr>
        <w:t>(Kudo, 2011)</w:t>
      </w:r>
      <w:r w:rsidRPr="00000000">
        <w:rPr>
          <w:rFonts w:ascii="Times New Roman" w:eastAsia="Times New Roman" w:hAnsi="Times New Roman" w:cs="Times New Roman"/>
          <w:i w:val="0"/>
          <w:smallCaps w:val="0"/>
          <w:strike w:val="0"/>
          <w:color w:val="0E101A"/>
          <w:sz w:val="24"/>
          <w:szCs w:val="24"/>
          <w:u w:val="none"/>
          <w:shd w:val="clear" w:color="auto" w:fill="auto"/>
          <w:vertAlign w:val="baseline"/>
          <w:rtl w:val="0"/>
        </w:rPr>
        <w:t>. This theory explains the Japanese cultural perception about the risk of contracting diseases, their perception of preventive measures in place, and also cues to action towards the condition and measures put in place to handle it.
</w:t>
      </w:r>
    </w:p>
    <w:p w:rsidR="00000000" w:rsidRPr="00000000" w:rsidP="00000000" w14:paraId="00000013">
      <w:pPr>
        <w:keepNext w:val="0"/>
        <w:keepLines w:val="0"/>
        <w:widowControl/>
        <w:pBdr>
          <w:top w:val="nil"/>
          <w:left w:val="nil"/>
          <w:bottom w:val="nil"/>
          <w:right w:val="nil"/>
          <w:between w:val="nil"/>
        </w:pBdr>
        <w:shd w:val="clear" w:color="auto" w:fill="auto"/>
        <w:spacing w:before="0" w:after="0" w:line="480" w:lineRule="auto"/>
        <w:ind w:left="0" w:right="0" w:firstLine="720"/>
        <w:rPr>
          <w:rFonts w:ascii="Times New Roman" w:eastAsia="Times New Roman" w:hAnsi="Times New Roman" w:cs="Times New Roman"/>
          <w:b/>
          <w:i w:val="0"/>
          <w:smallCaps w:val="0"/>
          <w:strike w:val="0"/>
          <w:color w:val="0E101A"/>
          <w:sz w:val="24"/>
          <w:szCs w:val="24"/>
          <w:u w:val="none"/>
          <w:shd w:val="clear" w:color="auto" w:fill="auto"/>
          <w:vertAlign w:val="baseline"/>
        </w:rPr>
      </w:pPr>
    </w:p>
    <w:p w:rsidR="00000000" w:rsidRPr="00000000" w:rsidP="00000000" w14:paraId="00000014">
      <w:pPr>
        <w:keepNext w:val="0"/>
        <w:keepLines w:val="0"/>
        <w:widowControl/>
        <w:pBdr>
          <w:top w:val="nil"/>
          <w:left w:val="nil"/>
          <w:bottom w:val="nil"/>
          <w:right w:val="nil"/>
          <w:between w:val="nil"/>
        </w:pBdr>
        <w:shd w:val="clear" w:color="auto" w:fill="auto"/>
        <w:spacing w:before="0" w:after="0" w:line="480" w:lineRule="auto"/>
        <w:ind w:left="0" w:right="0" w:firstLine="720"/>
        <w:rPr>
          <w:rFonts w:ascii="Times New Roman" w:eastAsia="Times New Roman" w:hAnsi="Times New Roman" w:cs="Times New Roman"/>
          <w:i w:val="0"/>
          <w:smallCaps w:val="0"/>
          <w:strike w:val="0"/>
          <w:color w:val="0E101A"/>
          <w:sz w:val="24"/>
          <w:szCs w:val="24"/>
          <w:u w:val="none"/>
          <w:shd w:val="clear" w:color="auto" w:fill="auto"/>
          <w:vertAlign w:val="baseline"/>
        </w:rPr>
      </w:pPr>
      <w:r w:rsidRPr="00000000">
        <w:rPr>
          <w:rFonts w:ascii="Times New Roman" w:eastAsia="Times New Roman" w:hAnsi="Times New Roman" w:cs="Times New Roman"/>
          <w:i w:val="0"/>
          <w:smallCaps w:val="0"/>
          <w:strike w:val="0"/>
          <w:color w:val="0E101A"/>
          <w:sz w:val="24"/>
          <w:szCs w:val="24"/>
          <w:u w:val="none"/>
          <w:shd w:val="clear" w:color="auto" w:fill="auto"/>
          <w:vertAlign w:val="baseline"/>
          <w:rtl w:val="0"/>
        </w:rPr>
        <w:t>The first study taken to assess the effect of HBM in the general Japanese population was the TB prevention behavior that focused more on socio-cognitive and demographic variables. This study showcased that people high in neuroticism believed that taking preventive action involved a lot of difficulties. However, their cues to action and interpersonal concern perceive themselves at the risk of contracting TB and consider the consequences of the disease as severe. Although exploratory, the findings stated that the response towards the infections was more associated with health beliefs and the behavioral component of the HBM. This also showed that beliefs that emphasized harm to the community, other than personal concerns that prompted behavior to avoid infection, triggered TB prevention behavior.
</w:t>
      </w:r>
    </w:p>
    <w:p w:rsidR="00000000" w:rsidRPr="00000000" w:rsidP="00000000" w14:paraId="00000015">
      <w:pPr>
        <w:keepNext w:val="0"/>
        <w:keepLines w:val="0"/>
        <w:widowControl/>
        <w:pBdr>
          <w:top w:val="nil"/>
          <w:left w:val="nil"/>
          <w:bottom w:val="nil"/>
          <w:right w:val="nil"/>
          <w:between w:val="nil"/>
        </w:pBdr>
        <w:shd w:val="clear" w:color="auto" w:fill="auto"/>
        <w:spacing w:before="0" w:after="0" w:line="480" w:lineRule="auto"/>
        <w:ind w:left="0" w:right="0" w:firstLine="720"/>
        <w:rPr>
          <w:rFonts w:ascii="Times New Roman" w:eastAsia="Times New Roman" w:hAnsi="Times New Roman" w:cs="Times New Roman"/>
          <w:b/>
          <w:i w:val="0"/>
          <w:smallCaps w:val="0"/>
          <w:strike w:val="0"/>
          <w:color w:val="0E101A"/>
          <w:sz w:val="24"/>
          <w:szCs w:val="24"/>
          <w:u w:val="none"/>
          <w:shd w:val="clear" w:color="auto" w:fill="auto"/>
          <w:vertAlign w:val="baseline"/>
        </w:rPr>
      </w:pPr>
    </w:p>
    <w:p w:rsidR="00000000" w:rsidRPr="00000000" w:rsidP="00000000" w14:paraId="00000016">
      <w:pPr>
        <w:keepNext w:val="0"/>
        <w:keepLines w:val="0"/>
        <w:widowControl/>
        <w:pBdr>
          <w:top w:val="nil"/>
          <w:left w:val="nil"/>
          <w:bottom w:val="nil"/>
          <w:right w:val="nil"/>
          <w:between w:val="nil"/>
        </w:pBdr>
        <w:shd w:val="clear" w:color="auto" w:fill="auto"/>
        <w:spacing w:before="0" w:after="0" w:line="480" w:lineRule="auto"/>
        <w:ind w:left="0" w:right="0" w:firstLine="720"/>
        <w:rPr>
          <w:rFonts w:ascii="Times New Roman" w:eastAsia="Times New Roman" w:hAnsi="Times New Roman" w:cs="Times New Roman"/>
          <w:i w:val="0"/>
          <w:smallCaps w:val="0"/>
          <w:strike w:val="0"/>
          <w:color w:val="0E101A"/>
          <w:sz w:val="24"/>
          <w:szCs w:val="24"/>
          <w:u w:val="none"/>
          <w:shd w:val="clear" w:color="auto" w:fill="auto"/>
          <w:vertAlign w:val="baseline"/>
        </w:rPr>
      </w:pPr>
      <w:r w:rsidRPr="00000000">
        <w:rPr>
          <w:rFonts w:ascii="Times New Roman" w:eastAsia="Times New Roman" w:hAnsi="Times New Roman" w:cs="Times New Roman"/>
          <w:i w:val="0"/>
          <w:smallCaps w:val="0"/>
          <w:strike w:val="0"/>
          <w:color w:val="0E101A"/>
          <w:sz w:val="24"/>
          <w:szCs w:val="24"/>
          <w:u w:val="none"/>
          <w:shd w:val="clear" w:color="auto" w:fill="auto"/>
          <w:vertAlign w:val="baseline"/>
          <w:rtl w:val="0"/>
        </w:rPr>
        <w:t>The current study indicated the importance of perceived vulnerability in the engagement in prevention behavior. Regarding HIV testing, these results correlate with the previous one involving decision making(</w:t>
      </w:r>
      <w:r w:rsidRPr="00000000">
        <w:rPr>
          <w:rFonts w:ascii="Times New Roman" w:eastAsia="Times New Roman" w:hAnsi="Times New Roman" w:cs="Times New Roman"/>
          <w:color w:val="0E101A"/>
          <w:sz w:val="24"/>
          <w:szCs w:val="24"/>
          <w:rtl w:val="0"/>
        </w:rPr>
        <w:t>Yoshitake, 2019)</w:t>
      </w:r>
      <w:r w:rsidRPr="00000000">
        <w:rPr>
          <w:rFonts w:ascii="Times New Roman" w:eastAsia="Times New Roman" w:hAnsi="Times New Roman" w:cs="Times New Roman"/>
          <w:i w:val="0"/>
          <w:smallCaps w:val="0"/>
          <w:strike w:val="0"/>
          <w:color w:val="0E101A"/>
          <w:sz w:val="24"/>
          <w:szCs w:val="24"/>
          <w:u w:val="none"/>
          <w:shd w:val="clear" w:color="auto" w:fill="auto"/>
          <w:vertAlign w:val="baseline"/>
          <w:rtl w:val="0"/>
        </w:rPr>
        <w:t>. The results suggested that risk perception should be personal; that is, an individual is vulnerable to the illness. To elicit prevention behavior, one had to avoid threatening perception that included the fact that one could die from the disease. The findings suggest that future research is required to confirm the results. Although this result relied entirely on self-report data measured at a one-time point, it could not infer the relationship observed.  
</w:t>
      </w:r>
    </w:p>
    <w:p w:rsidR="00000000" w:rsidRPr="00000000" w:rsidP="00000000" w14:paraId="00000017">
      <w:pPr>
        <w:keepNext w:val="0"/>
        <w:keepLines w:val="0"/>
        <w:widowControl/>
        <w:pBdr>
          <w:top w:val="nil"/>
          <w:left w:val="nil"/>
          <w:bottom w:val="nil"/>
          <w:right w:val="nil"/>
          <w:between w:val="nil"/>
        </w:pBdr>
        <w:shd w:val="clear" w:color="auto" w:fill="auto"/>
        <w:spacing w:before="0" w:after="0" w:line="480" w:lineRule="auto"/>
        <w:ind w:left="0" w:right="0" w:firstLine="720"/>
        <w:rPr>
          <w:rFonts w:ascii="Times New Roman" w:eastAsia="Times New Roman" w:hAnsi="Times New Roman" w:cs="Times New Roman"/>
          <w:b/>
          <w:i w:val="0"/>
          <w:smallCaps w:val="0"/>
          <w:strike w:val="0"/>
          <w:color w:val="0E101A"/>
          <w:sz w:val="24"/>
          <w:szCs w:val="24"/>
          <w:u w:val="none"/>
          <w:shd w:val="clear" w:color="auto" w:fill="auto"/>
          <w:vertAlign w:val="baseline"/>
        </w:rPr>
      </w:pPr>
      <w:r w:rsidRPr="00000000">
        <w:rPr>
          <w:rFonts w:ascii="Times New Roman" w:eastAsia="Times New Roman" w:hAnsi="Times New Roman" w:cs="Times New Roman"/>
          <w:i w:val="0"/>
          <w:smallCaps w:val="0"/>
          <w:strike w:val="0"/>
          <w:color w:val="0E101A"/>
          <w:sz w:val="24"/>
          <w:szCs w:val="24"/>
          <w:u w:val="none"/>
          <w:shd w:val="clear" w:color="auto" w:fill="auto"/>
          <w:vertAlign w:val="baseline"/>
          <w:rtl w:val="0"/>
        </w:rPr>
        <w:t>      </w:t>
      </w:r>
    </w:p>
    <w:p w:rsidR="00000000" w:rsidRPr="00000000" w:rsidP="00000000" w14:paraId="00000018">
      <w:pPr>
        <w:keepNext w:val="0"/>
        <w:keepLines w:val="0"/>
        <w:widowControl/>
        <w:pBdr>
          <w:top w:val="nil"/>
          <w:left w:val="nil"/>
          <w:bottom w:val="nil"/>
          <w:right w:val="nil"/>
          <w:between w:val="nil"/>
        </w:pBdr>
        <w:shd w:val="clear" w:color="auto" w:fill="auto"/>
        <w:spacing w:before="0" w:after="0" w:line="480" w:lineRule="auto"/>
        <w:ind w:left="0" w:right="0" w:firstLine="720"/>
        <w:rPr>
          <w:rFonts w:ascii="Times New Roman" w:eastAsia="Times New Roman" w:hAnsi="Times New Roman" w:cs="Times New Roman"/>
          <w:i w:val="0"/>
          <w:smallCaps w:val="0"/>
          <w:strike w:val="0"/>
          <w:color w:val="0E101A"/>
          <w:sz w:val="24"/>
          <w:szCs w:val="24"/>
          <w:u w:val="none"/>
          <w:shd w:val="clear" w:color="auto" w:fill="auto"/>
          <w:vertAlign w:val="baseline"/>
        </w:rPr>
      </w:pPr>
      <w:r w:rsidRPr="00000000">
        <w:rPr>
          <w:rFonts w:ascii="Times New Roman" w:eastAsia="Times New Roman" w:hAnsi="Times New Roman" w:cs="Times New Roman"/>
          <w:i w:val="0"/>
          <w:smallCaps w:val="0"/>
          <w:strike w:val="0"/>
          <w:color w:val="0E101A"/>
          <w:sz w:val="24"/>
          <w:szCs w:val="24"/>
          <w:u w:val="none"/>
          <w:shd w:val="clear" w:color="auto" w:fill="auto"/>
          <w:vertAlign w:val="baseline"/>
          <w:rtl w:val="0"/>
        </w:rPr>
        <w:t>This study highlighted how cultural factors play a role in disease prevention concerning HBM. This also highlighted the fact that disease prevention should be personal, as regardless of cultural harm, infections affect people on a personal level. More useful research also is needed to be conducted for more accurate results.</w:t>
      </w:r>
      <w:r w:rsidRPr="00000000">
        <w:br w:type="page"/>
      </w:r>
    </w:p>
    <w:p w:rsidR="00000000" w:rsidRPr="00000000" w:rsidP="00000000" w14:paraId="00000019">
      <w:pPr>
        <w:keepNext w:val="0"/>
        <w:keepLines w:val="0"/>
        <w:widowControl/>
        <w:pBdr>
          <w:top w:val="nil"/>
          <w:left w:val="nil"/>
          <w:bottom w:val="nil"/>
          <w:right w:val="nil"/>
          <w:between w:val="nil"/>
        </w:pBdr>
        <w:shd w:val="clear" w:color="auto" w:fill="auto"/>
        <w:spacing w:before="0" w:after="0" w:line="480" w:lineRule="auto"/>
        <w:ind w:left="0" w:right="0" w:firstLine="720"/>
        <w:jc w:val="center"/>
        <w:rPr>
          <w:rFonts w:ascii="Times New Roman" w:eastAsia="Times New Roman" w:hAnsi="Times New Roman" w:cs="Times New Roman"/>
          <w:color w:val="0E101A"/>
          <w:sz w:val="24"/>
          <w:szCs w:val="24"/>
        </w:rPr>
      </w:pPr>
      <w:r w:rsidRPr="00000000">
        <w:rPr>
          <w:rFonts w:ascii="Times New Roman" w:eastAsia="Times New Roman" w:hAnsi="Times New Roman" w:cs="Times New Roman"/>
          <w:color w:val="0E101A"/>
          <w:sz w:val="24"/>
          <w:szCs w:val="24"/>
          <w:rtl w:val="0"/>
        </w:rPr>
        <w:t>References</w:t>
      </w:r>
    </w:p>
    <w:p w:rsidR="00000000" w:rsidRPr="00000000" w:rsidP="00000000" w14:paraId="0000001A">
      <w:pPr>
        <w:keepNext w:val="0"/>
        <w:keepLines w:val="0"/>
        <w:widowControl/>
        <w:pBdr>
          <w:top w:val="nil"/>
          <w:left w:val="nil"/>
          <w:bottom w:val="nil"/>
          <w:right w:val="nil"/>
          <w:between w:val="nil"/>
        </w:pBdr>
        <w:shd w:val="clear" w:color="auto" w:fill="auto"/>
        <w:spacing w:before="0" w:after="0" w:line="480" w:lineRule="auto"/>
        <w:ind w:left="720" w:right="0" w:hanging="720"/>
        <w:rPr>
          <w:rFonts w:ascii="Times New Roman" w:eastAsia="Times New Roman" w:hAnsi="Times New Roman" w:cs="Times New Roman"/>
          <w:color w:val="0E101A"/>
          <w:sz w:val="24"/>
          <w:szCs w:val="24"/>
        </w:rPr>
      </w:pPr>
      <w:r w:rsidRPr="00000000">
        <w:rPr>
          <w:rFonts w:ascii="Times New Roman" w:eastAsia="Times New Roman" w:hAnsi="Times New Roman" w:cs="Times New Roman"/>
          <w:color w:val="0E101A"/>
          <w:sz w:val="24"/>
          <w:szCs w:val="24"/>
          <w:rtl w:val="0"/>
        </w:rPr>
        <w:t>Kudo, Y., Okada, M., Tsunoda, M., Satoh, T., &amp; Aizawa, Y. (2011). A lifestyle to prevent or combat the metabolic syndrome among Japanese workers: analyses using the health belief model and the multidimensional health locus of control. Industrial Health, 49(4), 543-543.
</w:t>
      </w:r>
    </w:p>
    <w:p w:rsidR="00000000" w:rsidRPr="00000000" w:rsidP="00000000" w14:paraId="0000001B">
      <w:pPr>
        <w:keepNext w:val="0"/>
        <w:keepLines w:val="0"/>
        <w:widowControl/>
        <w:pBdr>
          <w:top w:val="nil"/>
          <w:left w:val="nil"/>
          <w:bottom w:val="nil"/>
          <w:right w:val="nil"/>
          <w:between w:val="nil"/>
        </w:pBdr>
        <w:shd w:val="clear" w:color="auto" w:fill="auto"/>
        <w:spacing w:before="0" w:after="0" w:line="480" w:lineRule="auto"/>
        <w:ind w:left="720" w:right="0" w:hanging="720"/>
        <w:rPr>
          <w:rFonts w:ascii="Times New Roman" w:eastAsia="Times New Roman" w:hAnsi="Times New Roman" w:cs="Times New Roman"/>
          <w:color w:val="0E101A"/>
          <w:sz w:val="24"/>
          <w:szCs w:val="24"/>
        </w:rPr>
      </w:pPr>
      <w:r w:rsidRPr="00000000">
        <w:rPr>
          <w:rFonts w:ascii="Times New Roman" w:eastAsia="Times New Roman" w:hAnsi="Times New Roman" w:cs="Times New Roman"/>
          <w:color w:val="0E101A"/>
          <w:sz w:val="24"/>
          <w:szCs w:val="24"/>
          <w:rtl w:val="0"/>
        </w:rPr>
        <w:t>Yoshitake, N., Omori, M., Sugawara, M., Akishinonomiya, K., &amp; Shimada, S. (2019). Do health beliefs, personality traits, and interpersonal concerns predict TB prevention behavior among Japanese adults?. Plos one, 14(2), e0211728.</w:t>
      </w:r>
    </w:p>
    <w:p w:rsidR="00000000" w:rsidRPr="00000000" w:rsidP="00000000" w14:paraId="0000001C">
      <w:pPr>
        <w:keepNext w:val="0"/>
        <w:keepLines w:val="0"/>
        <w:widowControl/>
        <w:pBdr>
          <w:top w:val="nil"/>
          <w:left w:val="nil"/>
          <w:bottom w:val="nil"/>
          <w:right w:val="nil"/>
          <w:between w:val="nil"/>
        </w:pBdr>
        <w:shd w:val="clear" w:color="auto" w:fill="auto"/>
        <w:spacing w:before="0" w:after="0" w:line="480" w:lineRule="auto"/>
        <w:ind w:left="0" w:right="0" w:firstLine="0"/>
        <w:rPr>
          <w:rFonts w:ascii="Times New Roman" w:eastAsia="Times New Roman" w:hAnsi="Times New Roman" w:cs="Times New Roman"/>
          <w:i w:val="0"/>
          <w:smallCaps w:val="0"/>
          <w:strike w:val="0"/>
          <w:color w:val="0E101A"/>
          <w:sz w:val="24"/>
          <w:szCs w:val="24"/>
          <w:u w:val="none"/>
          <w:shd w:val="clear" w:color="auto" w:fill="auto"/>
          <w:vertAlign w:val="baseline"/>
        </w:rPr>
      </w:pPr>
    </w:p>
    <w:p w:rsidR="00000000" w:rsidRPr="00000000" w:rsidP="00000000" w14:paraId="0000001D">
      <w:pPr>
        <w:spacing w:line="480" w:lineRule="auto"/>
        <w:rPr>
          <w:rFonts w:ascii="Times New Roman" w:eastAsia="Times New Roman" w:hAnsi="Times New Roman" w:cs="Times New Roman"/>
          <w:sz w:val="24"/>
          <w:szCs w:val="24"/>
        </w:rPr>
      </w:pPr>
    </w:p>
    <w:sectPr>
      <w:headerReference w:type="default" r:id="rId4"/>
      <w:headerReference w:type="first" r:id="rId5"/>
      <w:footerReference w:type="first" r:id="rId6"/>
      <w:pgSz w:w="11906" w:h="16838" w:orient="portrait"/>
      <w:pgMar w:top="1440" w:right="1440" w:bottom="1440" w:left="1440" w:header="708" w:footer="708"/>
      <w:pgNumType w:start="1"/>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00"/>
    <w:family w:val="auto"/>
    <w:pitch w:val="default"/>
  </w:font>
  <w:font w:name="Georgia">
    <w:charset w:val="00"/>
    <w:family w:val="auto"/>
    <w:pitch w:val="default"/>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20"/>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1E">
    <w:pPr>
      <w:spacing w:line="480" w:lineRule="auto"/>
      <w:jc w:val="right"/>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 xml:space="preserve">HEALTH BELIEF MODEL                                                                                                   </w:t>
    </w:r>
    <w:r w:rsidRPr="00000000">
      <w:rPr>
        <w:rFonts w:ascii="Times New Roman" w:eastAsia="Times New Roman" w:hAnsi="Times New Roman" w:cs="Times New Roman"/>
        <w:sz w:val="24"/>
        <w:szCs w:val="24"/>
      </w:rPr>
      <w:fldChar w:fldCharType="begin"/>
    </w:r>
    <w:r w:rsidRPr="00000000">
      <w:rPr>
        <w:rFonts w:ascii="Times New Roman" w:eastAsia="Times New Roman" w:hAnsi="Times New Roman" w:cs="Times New Roman"/>
        <w:sz w:val="24"/>
        <w:szCs w:val="24"/>
      </w:rPr>
      <w:instrText>PAGE</w:instrText>
    </w:r>
    <w:r w:rsidRPr="00000000">
      <w:rPr>
        <w:rFonts w:ascii="Times New Roman" w:eastAsia="Times New Roman" w:hAnsi="Times New Roman" w:cs="Times New Roman"/>
        <w:sz w:val="24"/>
        <w:szCs w:val="24"/>
      </w:rPr>
      <w:fldChar w:fldCharType="separate"/>
    </w:r>
    <w:r w:rsidRPr="00000000">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1F">
    <w:pPr>
      <w:spacing w:line="480" w:lineRule="auto"/>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 xml:space="preserve">Running head: HEALTH BELIEF MODEL                                                                              </w:t>
    </w:r>
    <w:r w:rsidRPr="00000000">
      <w:rPr>
        <w:rFonts w:ascii="Times New Roman" w:eastAsia="Times New Roman" w:hAnsi="Times New Roman" w:cs="Times New Roman"/>
        <w:sz w:val="24"/>
        <w:szCs w:val="24"/>
      </w:rPr>
      <w:fldChar w:fldCharType="begin"/>
    </w:r>
    <w:r w:rsidRPr="00000000">
      <w:rPr>
        <w:rFonts w:ascii="Times New Roman" w:eastAsia="Times New Roman" w:hAnsi="Times New Roman" w:cs="Times New Roman"/>
        <w:sz w:val="24"/>
        <w:szCs w:val="24"/>
      </w:rPr>
      <w:instrText>PAGE</w:instrText>
    </w:r>
    <w:r w:rsidRPr="00000000">
      <w:rPr>
        <w:rFonts w:ascii="Times New Roman" w:eastAsia="Times New Roman" w:hAnsi="Times New Roman" w:cs="Times New Roman"/>
        <w:sz w:val="24"/>
        <w:szCs w:val="24"/>
      </w:rPr>
      <w:fldChar w:fldCharType="separate"/>
    </w:r>
    <w:r w:rsidRPr="00000000">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